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9"/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9273"/>
        <w:gridCol w:w="3431"/>
      </w:tblGrid>
      <w:tr>
        <w:trPr>
          <w:trHeight w:val="550" w:hRule="atLeast"/>
          <w:cantSplit w:val="true"/>
        </w:trPr>
        <w:tc>
          <w:tcPr>
            <w:tcW w:w="2694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160"/>
              <w:jc w:val="center"/>
              <w:rPr>
                <w:iCs/>
                <w:sz w:val="28"/>
              </w:rPr>
            </w:pPr>
            <w:r>
              <w:rPr/>
              <w:drawing>
                <wp:inline distT="0" distB="0" distL="0" distR="0">
                  <wp:extent cx="1057275" cy="981075"/>
                  <wp:effectExtent l="0" t="0" r="0" b="0"/>
                  <wp:docPr id="1" name="Immagine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73" w:type="dxa"/>
            <w:tcBorders/>
            <w:shd w:color="auto" w:fill="auto" w:val="clear"/>
            <w:vAlign w:val="center"/>
          </w:tcPr>
          <w:p>
            <w:pPr>
              <w:pStyle w:val="Corpodeltesto"/>
              <w:widowControl w:val="false"/>
              <w:bidi w:val="0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>
            <w:pPr>
              <w:pStyle w:val="Corpodeltesto"/>
              <w:widowControl w:val="false"/>
              <w:bidi w:val="0"/>
              <w:jc w:val="center"/>
              <w:rPr>
                <w:rFonts w:ascii="Arial" w:hAnsi="Arial"/>
                <w:b/>
                <w:b/>
                <w:i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</w:t>
            </w:r>
            <w:r>
              <w:rPr>
                <w:rFonts w:ascii="Arial" w:hAnsi="Arial"/>
                <w:iCs/>
                <w:sz w:val="40"/>
              </w:rPr>
              <w:t>V. Floriani”</w:t>
            </w:r>
          </w:p>
          <w:p>
            <w:pPr>
              <w:pStyle w:val="Normal"/>
              <w:widowControl w:val="false"/>
              <w:suppressAutoHyphens w:val="true"/>
              <w:bidi w:val="0"/>
              <w:ind w:right="34" w:hanging="0"/>
              <w:jc w:val="center"/>
              <w:rPr>
                <w:rFonts w:ascii="Arial" w:hAnsi="Arial"/>
                <w:b/>
                <w:b/>
                <w:i/>
                <w:i/>
                <w:sz w:val="16"/>
              </w:rPr>
            </w:pPr>
            <w:r>
              <w:rPr>
                <w:rFonts w:ascii="Arial" w:hAnsi="Arial"/>
                <w:b/>
                <w:i/>
                <w:sz w:val="16"/>
              </w:rPr>
            </w:r>
          </w:p>
          <w:p>
            <w:pPr>
              <w:pStyle w:val="Intestazione"/>
              <w:widowControl w:val="false"/>
              <w:tabs>
                <w:tab w:val="clear" w:pos="4819"/>
                <w:tab w:val="clear" w:pos="9638"/>
              </w:tabs>
              <w:bidi w:val="0"/>
              <w:spacing w:before="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kern w:val="0"/>
                <w:sz w:val="20"/>
              </w:rPr>
              <w:t>Via B. Cremagnani, 18 – Vimercate (MB)</w:t>
            </w:r>
          </w:p>
        </w:tc>
        <w:tc>
          <w:tcPr>
            <w:tcW w:w="3431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160"/>
              <w:jc w:val="center"/>
              <w:rPr>
                <w:kern w:val="0"/>
              </w:rPr>
            </w:pPr>
            <w:r>
              <w:rPr/>
              <w:drawing>
                <wp:inline distT="0" distB="0" distL="0" distR="0">
                  <wp:extent cx="1181100" cy="733425"/>
                  <wp:effectExtent l="0" t="0" r="0" b="0"/>
                  <wp:docPr id="2" name="Immagine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magine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25" w:hRule="atLeast"/>
          <w:cantSplit w:val="true"/>
        </w:trPr>
        <w:tc>
          <w:tcPr>
            <w:tcW w:w="2694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73" w:type="dxa"/>
            <w:tcBorders/>
            <w:shd w:color="auto" w:fill="auto" w:val="clear"/>
            <w:vAlign w:val="center"/>
          </w:tcPr>
          <w:p>
            <w:pPr>
              <w:pStyle w:val="Titolo2"/>
              <w:widowControl w:val="false"/>
              <w:numPr>
                <w:ilvl w:val="0"/>
                <w:numId w:val="0"/>
              </w:numPr>
              <w:bidi w:val="0"/>
              <w:ind w:left="0" w:right="34" w:hanging="0"/>
              <w:rPr>
                <w:sz w:val="16"/>
              </w:rPr>
            </w:pPr>
            <w:r>
              <w:rPr>
                <w:i w:val="false"/>
                <w:iCs w:val="false"/>
                <w:kern w:val="0"/>
              </w:rPr>
              <w:t>Programmazione Didattica Annuale - Docente</w:t>
            </w:r>
          </w:p>
        </w:tc>
        <w:tc>
          <w:tcPr>
            <w:tcW w:w="3431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center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325" w:hRule="atLeast"/>
          <w:cantSplit w:val="true"/>
        </w:trPr>
        <w:tc>
          <w:tcPr>
            <w:tcW w:w="269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napToGrid w:val="false"/>
              <w:spacing w:before="0" w:after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273" w:type="dxa"/>
            <w:tcBorders/>
            <w:shd w:color="auto" w:fill="auto" w:val="clear"/>
            <w:vAlign w:val="center"/>
          </w:tcPr>
          <w:p>
            <w:pPr>
              <w:pStyle w:val="Titolo2"/>
              <w:widowControl w:val="false"/>
              <w:numPr>
                <w:ilvl w:val="0"/>
                <w:numId w:val="0"/>
              </w:numPr>
              <w:bidi w:val="0"/>
              <w:snapToGrid w:val="false"/>
              <w:ind w:left="0" w:right="34" w:hanging="0"/>
              <w:jc w:val="left"/>
              <w:rPr>
                <w:kern w:val="0"/>
              </w:rPr>
            </w:pPr>
            <w:r>
              <w:rPr>
                <w:kern w:val="0"/>
              </w:rPr>
            </w:r>
          </w:p>
        </w:tc>
        <w:tc>
          <w:tcPr>
            <w:tcW w:w="343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jc w:val="left"/>
              <w:rPr>
                <w:lang w:val="it-IT"/>
              </w:rPr>
            </w:pPr>
            <w:r>
              <w:rPr>
                <w:rFonts w:ascii="Arial" w:hAnsi="Arial"/>
                <w:kern w:val="0"/>
                <w:sz w:val="20"/>
              </w:rPr>
              <w:t xml:space="preserve">              </w:t>
            </w:r>
            <w:r>
              <w:rPr>
                <w:rFonts w:ascii="Arial" w:hAnsi="Arial"/>
                <w:kern w:val="0"/>
                <w:sz w:val="20"/>
              </w:rPr>
              <w:t>Rev: 1</w:t>
            </w:r>
            <w:r>
              <w:rPr>
                <w:rFonts w:ascii="Arial" w:hAnsi="Arial"/>
                <w:kern w:val="0"/>
                <w:sz w:val="20"/>
                <w:lang w:val="it-IT"/>
              </w:rPr>
              <w:t>7/02/2022</w:t>
            </w:r>
            <w:bookmarkStart w:id="0" w:name="_GoBack"/>
            <w:bookmarkEnd w:id="0"/>
          </w:p>
        </w:tc>
      </w:tr>
    </w:tbl>
    <w:p>
      <w:pPr>
        <w:pStyle w:val="Normal"/>
        <w:bidi w:val="0"/>
        <w:spacing w:before="240" w:after="160"/>
        <w:jc w:val="left"/>
        <w:rPr>
          <w:rFonts w:ascii="Arial" w:hAnsi="Arial" w:eastAsia="Times New Roman" w:cs="Arial"/>
          <w:sz w:val="24"/>
          <w:szCs w:val="24"/>
          <w:lang w:eastAsia="he-IL" w:bidi="he-IL"/>
        </w:rPr>
      </w:pPr>
      <w:r>
        <w:rPr>
          <w:rFonts w:eastAsia="Times New Roman" w:cs="Arial" w:ascii="Arial" w:hAnsi="Arial"/>
          <w:sz w:val="24"/>
          <w:szCs w:val="24"/>
          <w:lang w:eastAsia="he-IL" w:bidi="he-IL"/>
        </w:rPr>
        <w:t xml:space="preserve">A.S. 2022/23       Insegnamento: Psicologia Gen. e Applic.   Docente: Giacalone </w:t>
        <w:tab/>
        <w:t>Classe: 4^C           Ore sett. D'insegnamento: 165</w:t>
      </w:r>
    </w:p>
    <w:p>
      <w:pPr>
        <w:pStyle w:val="Normal"/>
        <w:bidi w:val="0"/>
        <w:spacing w:before="240" w:after="160"/>
        <w:jc w:val="center"/>
        <w:rPr>
          <w:rFonts w:ascii="Arial" w:hAnsi="Arial" w:eastAsia="Times New Roman" w:cs="Arial"/>
          <w:b/>
          <w:b/>
          <w:bCs/>
          <w:color w:val="000000"/>
          <w:sz w:val="28"/>
          <w:szCs w:val="28"/>
          <w:lang w:eastAsia="it-IT"/>
        </w:rPr>
      </w:pPr>
      <w:r>
        <w:rPr>
          <w:rFonts w:eastAsia="Times New Roman" w:cs="Arial" w:ascii="Arial" w:hAnsi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Style w:val="9"/>
        <w:tblW w:w="5000" w:type="pct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56"/>
        <w:gridCol w:w="2330"/>
        <w:gridCol w:w="2673"/>
        <w:gridCol w:w="3313"/>
        <w:gridCol w:w="2125"/>
        <w:gridCol w:w="1240"/>
        <w:gridCol w:w="1136"/>
        <w:gridCol w:w="1323"/>
      </w:tblGrid>
      <w:tr>
        <w:trPr>
          <w:trHeight w:val="680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24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TITOLO UDA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it-IT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24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 xml:space="preserve">ASSI COINVOLTI / 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INSEGNAMENTI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4C6E7" w:themeFill="accent1" w:themeFillTint="66" w:val="clear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kern w:val="0"/>
                <w:sz w:val="20"/>
                <w:szCs w:val="20"/>
                <w:lang w:eastAsia="it-IT"/>
              </w:rPr>
              <w:t>TIPOLOGIA VALUTAZIONE</w:t>
            </w:r>
          </w:p>
        </w:tc>
      </w:tr>
      <w:tr>
        <w:trPr>
          <w:trHeight w:val="2388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1. Il disagio minorile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b w:val="false"/>
                    <w:bCs w:val="false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b w:val="false"/>
                <w:bCs w:val="false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di indirizzo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professionale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Psicologia generale e applicata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Metodologie operative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</w:rPr>
              <w:t>Competenze area professionale</w:t>
            </w:r>
            <w:r>
              <w:rPr>
                <w:rFonts w:cs="Arial" w:ascii="Arial" w:hAnsi="Arial"/>
                <w:i/>
                <w:iCs/>
                <w:color w:val="000000"/>
                <w:kern w:val="0"/>
                <w:sz w:val="22"/>
                <w:szCs w:val="22"/>
              </w:rPr>
              <w:t>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</w:rPr>
              <w:t>- U</w:t>
            </w: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tilizzare gli strumenti culturali e metodologici per porsi con atteggiamento razionale, critico e responsabile di fronte alla realtà, ai suoi fenomeni e ai suoi problemi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lang w:eastAsia="it-IT"/>
              </w:rPr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lang w:eastAsia="it-IT"/>
              </w:rPr>
              <w:t>- Individuare collegamenti e relazioni tra un caso presentato e le nozioni teoriche apprese sulla professionalità dell’operatore socio-sanitario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lang w:eastAsia="it-IT"/>
              </w:rPr>
              <w:t>- Facilitare la comunicazione tra persone e gruppi attraverso linguaggi e sistemi di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lang w:eastAsia="it-IT"/>
              </w:rPr>
              <w:t>relazioni adeguati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Comprendere le dinamiche proprie della realtà sociale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ascii="Arial" w:hAnsi="Arial"/>
                <w:i w:val="false"/>
                <w:iCs w:val="false"/>
                <w:kern w:val="0"/>
                <w:sz w:val="22"/>
                <w:szCs w:val="22"/>
              </w:rPr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ascii="Arial" w:hAnsi="Arial"/>
                <w:i w:val="false"/>
                <w:iCs w:val="false"/>
                <w:kern w:val="0"/>
                <w:sz w:val="22"/>
                <w:szCs w:val="22"/>
              </w:rPr>
              <w:t>Competenze asse: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  <w:t>Il maltrattamento minorile e le sue diverse forme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  <w:t>Le conseguenze del maltrattamento minorile a livello psicologico e sociale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  <w:t>La violenza assistita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  <w:t>L’alienazione parentale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  <w:t>Il concetto di crisi adolescenziale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  <w:t>Le condotte devianti degli adolescenti: baby gang e bullismo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Verifica scritta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Settembre/Ottobre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</w:tc>
      </w:tr>
      <w:tr>
        <w:trPr>
          <w:trHeight w:val="285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2. Gli anziani</w:t>
            </w:r>
          </w:p>
          <w:p>
            <w:pPr>
              <w:pStyle w:val="LO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Verdana" w:cs="Verdana"/>
                <w:b w:val="false"/>
                <w:b w:val="false"/>
                <w:bCs w:val="false"/>
                <w:kern w:val="0"/>
                <w:sz w:val="20"/>
                <w:szCs w:val="20"/>
                <w:lang w:eastAsia="it-IT"/>
              </w:rPr>
            </w:pPr>
            <w:r>
              <w:rPr>
                <w:rFonts w:eastAsia="Verdana" w:cs="Verdana" w:ascii="Arial" w:hAnsi="Arial"/>
                <w:b w:val="false"/>
                <w:bCs w:val="false"/>
                <w:kern w:val="0"/>
                <w:sz w:val="20"/>
                <w:szCs w:val="20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Verdana" w:cs="Verdana"/>
                <w:b w:val="false"/>
                <w:b w:val="false"/>
                <w:bCs w:val="false"/>
                <w:kern w:val="0"/>
                <w:sz w:val="20"/>
                <w:szCs w:val="20"/>
                <w:lang w:eastAsia="it-IT"/>
              </w:rPr>
            </w:pPr>
            <w:r>
              <w:rPr>
                <w:rFonts w:eastAsia="Verdana" w:cs="Verdana" w:ascii="Arial" w:hAnsi="Arial"/>
                <w:b w:val="false"/>
                <w:bCs w:val="false"/>
                <w:color w:val="000000"/>
                <w:kern w:val="0"/>
                <w:sz w:val="20"/>
                <w:szCs w:val="20"/>
                <w:lang w:eastAsia="it-IT"/>
              </w:rPr>
              <w:t>- Attività per gli anziani di una RSA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monodisciplinare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indirizzo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progettuale*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*Progetto ‘Filo d’argento’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professionale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Asse dei linguaggi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Asse storico-sociale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RC o attività alternative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Corpodeltesto"/>
              <w:widowControl w:val="false"/>
              <w:spacing w:lineRule="auto" w:line="24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Italiano</w:t>
            </w:r>
          </w:p>
          <w:p>
            <w:pPr>
              <w:pStyle w:val="Corpodeltesto"/>
              <w:widowControl w:val="false"/>
              <w:spacing w:lineRule="auto" w:line="24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Psicologia</w:t>
            </w:r>
          </w:p>
          <w:p>
            <w:pPr>
              <w:pStyle w:val="Corpodeltesto"/>
              <w:widowControl w:val="false"/>
              <w:spacing w:lineRule="auto" w:line="24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Igiene e cultura medica sanitaria</w:t>
            </w:r>
          </w:p>
          <w:p>
            <w:pPr>
              <w:pStyle w:val="Corpodeltesto"/>
              <w:widowControl w:val="false"/>
              <w:spacing w:lineRule="auto" w:line="24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Inglese</w:t>
            </w:r>
          </w:p>
          <w:p>
            <w:pPr>
              <w:pStyle w:val="Corpodeltesto"/>
              <w:widowControl w:val="false"/>
              <w:spacing w:lineRule="auto" w:line="24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Spagnolo</w:t>
            </w:r>
          </w:p>
          <w:p>
            <w:pPr>
              <w:pStyle w:val="Corpodeltesto"/>
              <w:widowControl w:val="false"/>
              <w:spacing w:lineRule="auto" w:line="24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Scienze motorie</w:t>
            </w:r>
          </w:p>
          <w:p>
            <w:pPr>
              <w:pStyle w:val="Corpodeltesto"/>
              <w:widowControl w:val="false"/>
              <w:spacing w:lineRule="auto" w:line="24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Metodologie operative</w:t>
            </w:r>
          </w:p>
          <w:p>
            <w:pPr>
              <w:pStyle w:val="Corpodeltesto"/>
              <w:widowControl w:val="false"/>
              <w:suppressAutoHyphens w:val="true"/>
              <w:bidi w:val="0"/>
              <w:spacing w:lineRule="auto" w:line="240" w:before="0" w:after="140"/>
              <w:jc w:val="left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Verdana" w:cs="Verdana" w:ascii="Arial" w:hAnsi="Arial"/>
                <w:sz w:val="22"/>
                <w:szCs w:val="22"/>
              </w:rPr>
              <w:t>Diritto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Competenze area generale: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-Utilizzare i linguaggi settoriali delle lingue straniere previste dai percorsi di studio per interagire in diversi ambiti e contesti di studio e lavoro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-Individuare ed utilizza le moderne forme di comunicazione visiva e multimediale anche con riferimento alle strategie espressive e agli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strumenti tecnici della comunicazione in rete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-Utilizzare le reti e gli strumenti informatici nelle attività di studio, ricerca e approfondimento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- Utilizzare il patrimonio lessicale ed espressivo della lingua italiana secondo le esigenze comunicative nei vari contesti: sociali, culturali,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scientifici, economici, tecnologici e professionali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Competenze area professionale: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-Partecipare e cooperare nei gruppi di lavoro e nelle équipe multi-professionali in diversi contesti organizzativi /lavorativi.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Facilitare la comunicazione tra persone e gruppi, anche di culture e contesti diversi, adottando modalità comunicative e relazionali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adeguate ai diversi ambiti professionali e alle diverse tipologie di utenza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-Raccogliere, conservare, elaborare e trasmettere dati relativi alle attività professionali svolte ai fini del monitoraggio e della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valutazione degli interventi e dei servizi utilizzando adeguati strumenti informativi in condizioni di sicurezza e affidabilità delle fonti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utilizzate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Competenze asse linguaggi: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-Padronanza della lingua italiana: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Padroneggiare gli strumenti espressivi ed argomentativi indispensabili per gestire l’interazione comunicativa verbale in vari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contesti;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Leggere, comprendere ed interpretare testi scritti di vario tipo;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Produrre testi di vario tipo in relazione ai differenti scopi comunicativi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-Utilizzare e produrre testi multimediali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Asse scientifico tecnologico: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-Osservare, descrivere ed analizzare fenomeni appartenenti alla realtà naturale e artificiale e riconoscere nelle sue varie forme i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concetti di sistema e di complessità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Asse storico sociale: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-Collocare l’esperienza personale in un sistema di regole fondato sul reciproco riconoscimento dei diritti garantiti dalla Costituzione,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a tutela della persona, della collettività e dell’ambiente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Il concetto di vecchiaia e i cambiamenti fisici, cognitivi e sociali che la caratterizzano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Le demenze senili: le diverse tipologie di demenza, i sintomi che le contraddistinguono e le loro conseguenze psicologiche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 xml:space="preserve">Il morbo di Parkinson e le sue manifestazioni 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Cargiver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-Osservare le dinamiche comunicative nei gruppi e tra le persone al fine di adottare strumenti e forme di comunicazione funzionali a favorire la relazione d’aiuto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-Orientare l’utenza alla fruizione dei servizi in relazione ai bisogni e alle prestazioni</w:t>
            </w:r>
          </w:p>
          <w:p>
            <w:pPr>
              <w:pStyle w:val="LO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color w:val="000000"/>
                <w:kern w:val="0"/>
                <w:sz w:val="22"/>
                <w:szCs w:val="22"/>
                <w:highlight w:val="yellow"/>
                <w:lang w:eastAsia="it-IT"/>
              </w:rPr>
            </w:pPr>
            <w:r>
              <w:rPr>
                <w:rFonts w:eastAsia="Arial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highlight w:val="yellow"/>
                <w:lang w:eastAsia="it-IT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  <w:lang w:eastAsia="it-IT"/>
              </w:rPr>
            </w:pPr>
            <w:r>
              <w:rPr>
                <w:rFonts w:eastAsia="Verdana" w:cs="Verdana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Verifica scritta </w:t>
            </w:r>
            <w:r>
              <w:rPr>
                <w:rFonts w:eastAsia="Verdana" w:cs="Verdana" w:ascii="Arial" w:hAnsi="Arial"/>
                <w:color w:val="000000"/>
                <w:kern w:val="0"/>
                <w:sz w:val="22"/>
                <w:szCs w:val="22"/>
                <w:lang w:eastAsia="it-IT"/>
              </w:rPr>
              <w:t>e</w:t>
            </w:r>
            <w:r>
              <w:rPr>
                <w:rFonts w:eastAsia="Verdana" w:cs="Verdana" w:ascii="Arial" w:hAnsi="Arial"/>
                <w:color w:val="000000"/>
                <w:kern w:val="0"/>
                <w:sz w:val="22"/>
                <w:szCs w:val="22"/>
                <w:lang w:eastAsia="it-IT"/>
              </w:rPr>
              <w:t>/</w:t>
            </w:r>
            <w:r>
              <w:rPr>
                <w:rFonts w:eastAsia="Verdana" w:cs="Verdana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o </w:t>
            </w:r>
            <w:r>
              <w:rPr>
                <w:rFonts w:eastAsia="Verdana" w:cs="Verdana" w:ascii="Arial" w:hAnsi="Arial"/>
                <w:color w:val="000000"/>
                <w:kern w:val="0"/>
                <w:sz w:val="22"/>
                <w:szCs w:val="22"/>
                <w:lang w:eastAsia="it-IT"/>
              </w:rPr>
              <w:t>orale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  <w:lang w:eastAsia="it-IT"/>
              </w:rPr>
            </w:pPr>
            <w:r>
              <w:rPr>
                <w:rFonts w:ascii="Arial" w:hAnsi="Arial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  <w:lang w:eastAsia="it-IT"/>
              </w:rPr>
            </w:pPr>
            <w:r>
              <w:rPr>
                <w:rFonts w:ascii="Arial" w:hAnsi="Arial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  <w:sz w:val="22"/>
                <w:szCs w:val="22"/>
                <w:lang w:eastAsia="it-IT"/>
              </w:rPr>
            </w:pPr>
            <w:r>
              <w:rPr>
                <w:rFonts w:eastAsia="Verdana" w:cs="Verdana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Progettazione e realizzazione di un’attività (cruciverba, gioco carte, attività manuali, attività motorie ….) da proporre agli anziani di una RSA,  e  presentazione di una relazione scritta dell’attività,  specificandone finalità ed obiettivi e in cui siano evidenziate le competenze acquisite nel corso dell’esperienza effettuata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Novembre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 per competenze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Esito PCTO</w:t>
            </w:r>
          </w:p>
        </w:tc>
      </w:tr>
      <w:tr>
        <w:trPr>
          <w:trHeight w:val="285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3. I diversamente abili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 xml:space="preserve">X </w:t>
                </w:r>
                <w:r>
                  <w:rPr>
                    <w:rFonts w:eastAsia="Times New Roman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di indirizzo</w:t>
                </w:r>
              </w:sdtContent>
            </w:sdt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progettuale*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*LIS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professionale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Psicologia generale ed applicata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Metodologia operativa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Igiene e cultura medica sanitaria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</w:rPr>
              <w:t>Competenze area professionale</w:t>
            </w:r>
            <w:r>
              <w:rPr>
                <w:rFonts w:cs="Arial" w:ascii="Arial" w:hAnsi="Arial"/>
                <w:i/>
                <w:iCs/>
                <w:color w:val="000000"/>
                <w:kern w:val="0"/>
                <w:sz w:val="22"/>
                <w:szCs w:val="22"/>
              </w:rPr>
              <w:t>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</w:rPr>
              <w:t>- U</w:t>
            </w: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tilizzare gli strumenti culturali e metodologici per porsi con atteggiamento razionale, critico e responsabile di fronte alla realtà, ai suoi fenomeni e ai suoi problemi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lang w:eastAsia="it-IT"/>
              </w:rPr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lang w:eastAsia="it-IT"/>
              </w:rPr>
              <w:t>- Individuare collegamenti e relazioni tra un caso presentato e le nozioni teoriche apprese sulla professionalità dell’operatore socio-sanitario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lang w:eastAsia="it-IT"/>
              </w:rPr>
              <w:t>- Facilitare la comunicazione tra persone e gruppi attraverso linguaggi e sistemi di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lang w:eastAsia="it-IT"/>
              </w:rPr>
              <w:t>relazioni adeguati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Comprendere le dinamiche proprie della realtà sociale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ascii="Arial" w:hAnsi="Arial"/>
                <w:i w:val="false"/>
                <w:iCs w:val="false"/>
                <w:kern w:val="0"/>
                <w:sz w:val="22"/>
                <w:szCs w:val="22"/>
              </w:rPr>
              <w:t>Competenze asse: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 concetti di ‘abilità’, ‘menomazione’, ‘disabilità’ e ‘handicap’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La differenza tra inserimento,  integrazione e inclusione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Le cause di disabilità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Le disabilità intellettive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Le disabilità sensoriali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Le disabilità motorie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Verifica scritta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e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/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o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orale                       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Novembre/Dicembre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</w:tc>
      </w:tr>
      <w:tr>
        <w:trPr>
          <w:trHeight w:val="285" w:hRule="atLeast"/>
        </w:trPr>
        <w:tc>
          <w:tcPr>
            <w:tcW w:w="12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 xml:space="preserve">4. Il disagio psichico </w:t>
            </w:r>
          </w:p>
        </w:tc>
        <w:tc>
          <w:tcPr>
            <w:tcW w:w="2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b/>
                    <w:bCs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indirizzo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professionale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Psicologia generale e applicata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Metodologie operative</w:t>
            </w:r>
          </w:p>
        </w:tc>
        <w:tc>
          <w:tcPr>
            <w:tcW w:w="3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</w:rPr>
              <w:t>Competenze area professionale</w:t>
            </w:r>
            <w:r>
              <w:rPr>
                <w:rFonts w:cs="Arial" w:ascii="Arial" w:hAnsi="Arial"/>
                <w:i/>
                <w:iCs/>
                <w:color w:val="000000"/>
                <w:kern w:val="0"/>
                <w:sz w:val="22"/>
                <w:szCs w:val="22"/>
              </w:rPr>
              <w:t>: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lang w:eastAsia="it-IT"/>
              </w:rPr>
              <w:t>- Utilizzare gli strumenti culturali e metodologici per porsi con atteggiamento razionale, critico e responsabile di fronte alla realtà, ai suoi fenomeni e ai suoi problemi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lang w:eastAsia="it-IT"/>
              </w:rPr>
              <w:t>- Individuare collegamenti e relazioni tra un caso presentato e le nozioni teoriche apprese sulla professionalità dell’operatore socio-sanitario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lang w:eastAsia="it-IT"/>
              </w:rPr>
              <w:t>- Facilitare la comunicazione tra persone e gruppi attraverso linguaggi e sistemi di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lang w:eastAsia="it-IT"/>
              </w:rPr>
              <w:t>relazioni adeguati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- Comprendere le dinamiche proprie della realtà sociale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ascii="Arial" w:hAnsi="Arial"/>
                <w:i w:val="false"/>
                <w:iCs w:val="false"/>
                <w:kern w:val="0"/>
                <w:sz w:val="22"/>
                <w:szCs w:val="22"/>
              </w:rPr>
              <w:t>Competenze asse: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 xml:space="preserve">I criteri della normalità e della patologia 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I fattori biologici, psicologici e socio-culturali che determinano la malattia mentale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La differenza tra nevrosi e psicosi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Il DSM: le sue caratteristiche e i suoi limiti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Il disturbo d’ansia generalizzata, l’attacco di panico e il disturbo fobico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Il disturbo ossessivo-compulsivo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La depressione maggiore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La schizofrenia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L’autismo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I disturbi della nutrizione e dell’alimentazione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 xml:space="preserve">Il disturbo da deficit di attenzione e iperattività 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 xml:space="preserve">Verifica scritta </w:t>
            </w: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e</w:t>
            </w: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/</w:t>
            </w: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 xml:space="preserve">o </w:t>
            </w: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orale</w:t>
            </w: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Gennaio/Febbraio</w:t>
            </w:r>
          </w:p>
        </w:tc>
        <w:tc>
          <w:tcPr>
            <w:tcW w:w="1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</w:tc>
      </w:tr>
      <w:tr>
        <w:trPr>
          <w:trHeight w:val="285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5. Le dipendenze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1"/>
              <w:widowControl w:val="false"/>
              <w:suppressAutoHyphens w:val="tru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eastAsia="MS Gothic" w:cs="MS Gothic" w:ascii="Arial" w:hAnsi="Arial"/>
                <w:color w:val="000000"/>
                <w:sz w:val="22"/>
                <w:szCs w:val="22"/>
              </w:rPr>
              <w:t xml:space="preserve">X 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monodisciplinare</w:t>
            </w:r>
          </w:p>
          <w:p>
            <w:pPr>
              <w:pStyle w:val="LOnormal1"/>
              <w:widowControl w:val="false"/>
              <w:suppressAutoHyphens w:val="true"/>
              <w:spacing w:lineRule="auto" w:line="276" w:before="0"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Quattrocento Sans" w:cs="Quattrocento Sans" w:ascii="Arial" w:hAnsi="Arial"/>
                <w:i w:val="false"/>
                <w:iCs w:val="false"/>
                <w:color w:val="000000"/>
                <w:sz w:val="22"/>
                <w:szCs w:val="22"/>
              </w:rPr>
              <w:t xml:space="preserve">X 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multidisciplinare</w:t>
            </w:r>
          </w:p>
          <w:p>
            <w:pPr>
              <w:pStyle w:val="LOnormal1"/>
              <w:widowControl w:val="false"/>
              <w:suppressAutoHyphens w:val="tru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eastAsia="MS Gothic" w:cs="MS Gothic" w:ascii="Arial" w:hAnsi="Arial"/>
                <w:color w:val="000000"/>
                <w:sz w:val="22"/>
                <w:szCs w:val="22"/>
              </w:rPr>
              <w:t>☐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di asse/i</w:t>
            </w:r>
          </w:p>
          <w:p>
            <w:pPr>
              <w:pStyle w:val="LOnormal1"/>
              <w:widowControl w:val="false"/>
              <w:suppressAutoHyphens w:val="tru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eastAsia="Arimo" w:cs="Arimo" w:ascii="Arial" w:hAnsi="Arial"/>
                <w:color w:val="000000"/>
                <w:sz w:val="22"/>
                <w:szCs w:val="22"/>
              </w:rPr>
              <w:t>X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 xml:space="preserve"> di indirizzo</w:t>
            </w:r>
          </w:p>
          <w:p>
            <w:pPr>
              <w:pStyle w:val="LOnormal1"/>
              <w:widowControl w:val="false"/>
              <w:suppressAutoHyphens w:val="tru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eastAsia="Arimo" w:cs="Arimo" w:ascii="Arial" w:hAnsi="Arial"/>
                <w:color w:val="000000"/>
                <w:sz w:val="22"/>
                <w:szCs w:val="22"/>
              </w:rPr>
              <w:t>☐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di recupero</w:t>
            </w:r>
          </w:p>
          <w:p>
            <w:pPr>
              <w:pStyle w:val="LOnormal1"/>
              <w:widowControl w:val="false"/>
              <w:suppressAutoHyphens w:val="tru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eastAsia="Arimo" w:cs="Arimo" w:ascii="Arial" w:hAnsi="Arial"/>
                <w:color w:val="000000"/>
                <w:sz w:val="22"/>
                <w:szCs w:val="22"/>
              </w:rPr>
              <w:t>☐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di potenziamento</w:t>
            </w:r>
          </w:p>
          <w:p>
            <w:pPr>
              <w:pStyle w:val="LOnormal1"/>
              <w:widowControl w:val="false"/>
              <w:suppressAutoHyphens w:val="true"/>
              <w:spacing w:lineRule="auto" w:line="276" w:before="0" w:after="0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eastAsia="Arimo" w:cs="Arimo" w:ascii="Arial" w:hAnsi="Arial"/>
                <w:color w:val="000000"/>
                <w:sz w:val="22"/>
                <w:szCs w:val="22"/>
              </w:rPr>
              <w:t>☐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progettuale</w:t>
            </w:r>
          </w:p>
          <w:p>
            <w:pPr>
              <w:pStyle w:val="LOnormal1"/>
              <w:widowControl w:val="false"/>
              <w:suppressAutoHyphens w:val="true"/>
              <w:spacing w:lineRule="auto" w:line="276" w:before="0" w:after="0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mo" w:cs="Arimo" w:ascii="Arial" w:hAnsi="Arial"/>
                <w:color w:val="000000"/>
                <w:kern w:val="0"/>
                <w:sz w:val="22"/>
                <w:szCs w:val="22"/>
                <w:lang w:eastAsia="it-IT"/>
              </w:rPr>
              <w:t>☐</w:t>
            </w: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>Assi coinvolti: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professionale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Asse dei linguaggi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Asse storico-sociale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RC o attività alternative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color w:val="000000"/>
                <w:sz w:val="22"/>
                <w:szCs w:val="22"/>
              </w:rPr>
              <w:t xml:space="preserve">Insegnamenti: 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-Psicologia generale e applicata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-Laboratorio dei servizi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per la sanità e assistenza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sociale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-Inglese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-Discipline sanitarie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-Seconda lingua straniera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-Diritto economia e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tecnica amministrativa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Competenze area generale: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-Utilizzare i linguaggi settoriali delle lingue straniere previste dai percorsi di studio per interagire in diversi ambiti e contesti di studio e lavoro.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-Individuare ed utilizza le moderne forme di comunicazione visiva e multimediale anche con riferimento alle strategie espressive e agli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strumenti tecnici della comunicazione in rete.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-Utilizzare le reti e gli strumenti informatici nelle attività di studio, ricerca e approfondimento.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- Utilizzare il patrimonio lessicale ed espressivo della lingua italiana secondo le esigenze comunicative nei vari contesti: sociali, culturali,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scientifici, economici, tecnologici e professionali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color w:val="000000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Competenze area professionale: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-Partecipare e cooperare nei gruppi di lavoro e nelle équipe multi-professionali in diversi contesti organizzativi /lavorativi.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Facilitare la comunicazione tra persone e gruppi, anche di culture e contesti diversi, adottando modalità comunicative e relazionali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adeguate ai diversi ambiti professionali e alle diverse tipologie di utenza.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-Raccogliere, conservare, elaborare e trasmettere dati relativi alle attività professionali svolte ai fini del monitoraggio e della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valutazione degli interventi e dei servizi utilizzando adeguati strumenti informativi in condizioni di sicurezza e affidabilità delle fonti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utilizzate.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Competenze asse linguaggi: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-Padronanza della lingua italiana: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Padroneggiare gli strumenti espressivi ed argomentativi indispensabili per gestire l’interazione comunicativa verbale in vari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contesti;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Leggere, comprendere ed interpretare testi scritti di vario tipo;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b w:val="false"/>
                <w:b w:val="false"/>
                <w:i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Produrre testi di vario tipo in relazione ai differenti scopi comunicativi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-Utilizzare e produrre testi multimediali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Asse scientifico tecnologico: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-Osservare, descrivere ed analizzare fenomeni appartenenti alla realtà naturale e artificiale e riconoscere nelle sue varie forme i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concetti di sistema e di complessità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Asse storico sociale: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-Collocare l’esperienza personale in un sistema di regole fondato sul reciproco riconoscimento dei diritti garantiti dalla Costituzione,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a tutela della persona, della collettività e dell’ambiente</w:t>
            </w:r>
          </w:p>
          <w:p>
            <w:pPr>
              <w:pStyle w:val="LOnormal1"/>
              <w:keepNext w:val="false"/>
              <w:keepLines w:val="false"/>
              <w:widowControl w:val="false"/>
              <w:shd w:val="clear" w:fill="auto"/>
              <w:suppressAutoHyphens w:val="true"/>
              <w:spacing w:lineRule="auto" w:line="240" w:before="0" w:after="0"/>
              <w:ind w:left="0" w:right="0" w:hanging="0"/>
              <w:jc w:val="left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La classificazione delle droghe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Disturbi indotti da sostanze e disturbi da uso di sostanze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Le conseguenze della tossicodipendenza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Le nuove dipendenze: azzardopatia, Internet addiction, shopping compulsivo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>Le diverse tipologie di bevitori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 xml:space="preserve">Le conseguenze psico-fisiche e sociali dell’abuso di alcol 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 xml:space="preserve">- Esporre all’interno di gruppi di lavoro e di équipe professionali informazioni e dati. 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 xml:space="preserve">- Osservare le dinamiche comunicative nei gruppi e tra le persone al fine di adottare strumenti e forme di comunicazione funzionali a favorire la relazione d’aiuto. 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eastAsia="Arial" w:cs="Arial" w:ascii="Arial" w:hAnsi="Arial"/>
                <w:i w:val="false"/>
                <w:iCs w:val="false"/>
                <w:sz w:val="22"/>
                <w:szCs w:val="22"/>
              </w:rPr>
              <w:t xml:space="preserve">- Orientare l’utenza alla fruizione dei servizi in relazione ai bisogni e alle prestazioni. 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i/>
                <w:i/>
                <w:color w:val="000000"/>
                <w:kern w:val="0"/>
                <w:sz w:val="22"/>
                <w:szCs w:val="22"/>
                <w:highlight w:val="yellow"/>
                <w:lang w:eastAsia="it-IT"/>
              </w:rPr>
            </w:pPr>
            <w:r>
              <w:rPr>
                <w:rFonts w:eastAsia="Arial" w:cs="Arial" w:ascii="Arial" w:hAnsi="Arial"/>
                <w:i/>
                <w:color w:val="000000"/>
                <w:kern w:val="0"/>
                <w:sz w:val="22"/>
                <w:szCs w:val="22"/>
                <w:highlight w:val="yellow"/>
                <w:lang w:eastAsia="it-IT"/>
              </w:rPr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Verifica scritta </w:t>
            </w: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e</w:t>
            </w: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/</w:t>
            </w: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o </w:t>
            </w: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orale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40"/>
              <w:jc w:val="left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Produzione di un volantino esplicativo o una relazione o un power point informativo sulla prevenzione alle dipendenze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Marzo/Aprile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 per competenze</w:t>
            </w:r>
          </w:p>
        </w:tc>
      </w:tr>
      <w:tr>
        <w:trPr>
          <w:trHeight w:val="285" w:hRule="atLeast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6. La famiglia e le sue difficoltà 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monodisciplinare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multidisciplinare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Aria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asse/i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X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indirizzo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recupero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potenziamento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progettuale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sdt>
              <w:sdtPr>
                <w14:checkbox>
                  <w14:checked w:val=""/>
                  <w14:checkedState w:val=""/>
                  <w14:uncheckedState w:val=""/>
                </w14:checkbox>
              </w:sdtPr>
              <w:sdtContent>
                <w:r>
                  <w:rPr>
                    <w:rFonts w:eastAsia="MS Gothic" w:cs="Segoe UI Symbol" w:ascii="Arial" w:hAnsi="Arial"/>
                    <w:color w:val="000000"/>
                    <w:kern w:val="0"/>
                    <w:sz w:val="22"/>
                    <w:szCs w:val="22"/>
                    <w:lang w:eastAsia="it-IT"/>
                  </w:rPr>
                  <w:t>☐</w:t>
                </w:r>
              </w:sdtContent>
            </w:sdt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di PCTO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Assi coinvolti: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eastAsia="Arial" w:cs="Arial" w:ascii="Arial" w:hAnsi="Arial"/>
                <w:sz w:val="22"/>
                <w:szCs w:val="22"/>
              </w:rPr>
              <w:t>Scientifico, tecnologico e</w:t>
            </w:r>
          </w:p>
          <w:p>
            <w:pPr>
              <w:pStyle w:val="LOnormal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professionale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Insegnamenti: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color w:val="000000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Psicologia generale ed applicata</w:t>
            </w:r>
          </w:p>
        </w:tc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kern w:val="0"/>
                <w:sz w:val="22"/>
                <w:szCs w:val="22"/>
              </w:rPr>
            </w:pPr>
            <w:r>
              <w:rPr>
                <w:rFonts w:cs="Arial" w:ascii="Arial" w:hAnsi="Arial"/>
                <w:color w:val="000000"/>
                <w:kern w:val="0"/>
                <w:sz w:val="22"/>
                <w:szCs w:val="22"/>
              </w:rPr>
              <w:t>Competenze area professionale</w:t>
            </w:r>
            <w:r>
              <w:rPr>
                <w:rFonts w:cs="Arial" w:ascii="Arial" w:hAnsi="Arial"/>
                <w:i/>
                <w:iCs/>
                <w:color w:val="000000"/>
                <w:kern w:val="0"/>
                <w:sz w:val="22"/>
                <w:szCs w:val="22"/>
              </w:rPr>
              <w:t>: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lang w:eastAsia="it-IT"/>
              </w:rPr>
              <w:t>-Utilizzare gli strumenti culturali e metodologici per porsi con atteggiamento razionale, critico e responsabile di fronte alla realtà, ai suoi fenomeni e ai suoi problemi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lang w:eastAsia="it-IT"/>
              </w:rPr>
              <w:t>- Individuare collegamenti e relazioni tra un caso presentato e le nozioni teoriche apprese sulla professionalità dell’operatore socio-sanitario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lang w:eastAsia="it-IT"/>
              </w:rPr>
              <w:t>- Facilitare la comunicazione tra persone e gruppi attraverso linguaggi e sistemi di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eastAsia="Times New Roman" w:cs="Arial" w:ascii="Arial" w:hAnsi="Arial"/>
                <w:color w:val="000000"/>
                <w:lang w:eastAsia="it-IT"/>
              </w:rPr>
              <w:t>relazioni adeguati</w:t>
            </w:r>
          </w:p>
          <w:p>
            <w:pPr>
              <w:pStyle w:val="Normal"/>
              <w:widowControl w:val="false"/>
              <w:rPr>
                <w:rFonts w:ascii="Arial" w:hAnsi="Arial" w:eastAsia="Times New Roman" w:cs="Arial"/>
                <w:color w:val="000000"/>
                <w:lang w:eastAsia="it-IT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Comprendere le dinamiche proprie della realtà sociale</w:t>
            </w:r>
          </w:p>
          <w:p>
            <w:pPr>
              <w:pStyle w:val="NormalWeb"/>
              <w:widowControl w:val="false"/>
              <w:suppressAutoHyphens w:val="true"/>
              <w:bidi w:val="0"/>
              <w:spacing w:beforeAutospacing="0" w:before="0" w:afterAutospacing="0" w:after="0"/>
              <w:jc w:val="left"/>
              <w:rPr>
                <w:rFonts w:ascii="Arial" w:hAnsi="Arial"/>
                <w:i w:val="false"/>
                <w:i w:val="false"/>
                <w:iCs w:val="false"/>
                <w:kern w:val="0"/>
                <w:sz w:val="22"/>
                <w:szCs w:val="22"/>
              </w:rPr>
            </w:pPr>
            <w:r>
              <w:rPr>
                <w:rFonts w:ascii="Arial" w:hAnsi="Arial"/>
                <w:i w:val="false"/>
                <w:iCs w:val="false"/>
                <w:kern w:val="0"/>
                <w:sz w:val="22"/>
                <w:szCs w:val="22"/>
              </w:rPr>
              <w:t>Competenze asse: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i w:val="false"/>
                <w:iCs w:val="false"/>
                <w:color w:val="000000"/>
                <w:kern w:val="0"/>
                <w:sz w:val="22"/>
                <w:szCs w:val="22"/>
                <w:lang w:eastAsia="it-IT"/>
              </w:rPr>
              <w:t>- Osservare, descrivere ed analizzare fenomeni appartenenti alla realtà naturale e artificiale e riconoscere nelle sue varie forme i concetti di sistema e di complessità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C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ondizioni sociali e caratteristiche della famiglia multiproblematica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Le nuove povertà e le difficoltà delle famiglie di fronte alla crisi economica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I sentimenti e le difficoltà di adattamento che si accompagnano alla migrazione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16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Verifica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 xml:space="preserve">scritta e/o </w:t>
            </w:r>
            <w:r>
              <w:rPr>
                <w:rFonts w:eastAsia="Times New Roman" w:cs="Arial" w:ascii="Arial" w:hAnsi="Arial"/>
                <w:color w:val="000000"/>
                <w:kern w:val="0"/>
                <w:sz w:val="22"/>
                <w:szCs w:val="22"/>
                <w:lang w:eastAsia="it-IT"/>
              </w:rPr>
              <w:t>orale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 w:eastAsia="Times New Roman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Times New Roman" w:cs="Arial" w:ascii="Arial" w:hAnsi="Arial"/>
                <w:kern w:val="0"/>
                <w:sz w:val="22"/>
                <w:szCs w:val="22"/>
                <w:lang w:eastAsia="it-IT"/>
              </w:rPr>
              <w:t>Maggio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Griglia di valutazione</w:t>
            </w:r>
          </w:p>
          <w:p>
            <w:pPr>
              <w:pStyle w:val="LOnormal1"/>
              <w:widowControl w:val="false"/>
              <w:suppressAutoHyphens w:val="true"/>
              <w:spacing w:lineRule="auto" w:line="240" w:before="0" w:after="0"/>
              <w:rPr>
                <w:rFonts w:ascii="Arial" w:hAnsi="Arial" w:eastAsia="Arial" w:cs="Arial"/>
                <w:kern w:val="0"/>
                <w:sz w:val="22"/>
                <w:szCs w:val="22"/>
                <w:lang w:eastAsia="it-IT"/>
              </w:rPr>
            </w:pPr>
            <w:r>
              <w:rPr>
                <w:rFonts w:eastAsia="Arial" w:cs="Arial" w:ascii="Arial" w:hAnsi="Arial"/>
                <w:kern w:val="0"/>
                <w:sz w:val="22"/>
                <w:szCs w:val="22"/>
                <w:lang w:eastAsia="it-IT"/>
              </w:rPr>
              <w:t>Decimi</w:t>
            </w:r>
          </w:p>
        </w:tc>
      </w:tr>
    </w:tbl>
    <w:p>
      <w:pPr>
        <w:pStyle w:val="Normal"/>
        <w:bidi w:val="0"/>
        <w:spacing w:lineRule="auto" w:line="240" w:before="0" w:after="0"/>
        <w:jc w:val="center"/>
        <w:rPr>
          <w:rFonts w:ascii="Arial" w:hAnsi="Arial" w:eastAsia="Times New Roman" w:cs="Arial"/>
          <w:b/>
          <w:b/>
          <w:bCs/>
          <w:color w:val="000000"/>
          <w:lang w:eastAsia="it-IT"/>
        </w:rPr>
      </w:pPr>
      <w:r>
        <w:rPr>
          <w:rFonts w:eastAsia="Times New Roman" w:cs="Arial" w:ascii="Arial" w:hAnsi="Arial"/>
          <w:b/>
          <w:bCs/>
          <w:color w:val="000000"/>
          <w:lang w:eastAsia="it-IT"/>
        </w:rPr>
      </w:r>
    </w:p>
    <w:p>
      <w:pPr>
        <w:pStyle w:val="Corpodeltesto"/>
        <w:numPr>
          <w:ilvl w:val="0"/>
          <w:numId w:val="2"/>
        </w:numPr>
        <w:bidi w:val="0"/>
        <w:spacing w:before="73" w:after="120"/>
        <w:ind w:left="360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Inserire il titolo sintetico dell’UdA</w:t>
      </w:r>
    </w:p>
    <w:p>
      <w:pPr>
        <w:pStyle w:val="Corpodeltesto"/>
        <w:numPr>
          <w:ilvl w:val="0"/>
          <w:numId w:val="2"/>
        </w:numPr>
        <w:bidi w:val="0"/>
        <w:spacing w:lineRule="auto" w:line="276" w:before="1" w:after="120"/>
        <w:ind w:left="360" w:right="117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Specificare il tipo di UdA. L’UdA monodisciplinare è un percorso didattico sviluppato da un solo insegnamento dell’asse di riferimento; l’UdA multidisciplinare coinvolge più insegnamenti, anche di assi differenti; l’UdA di asse coinvolge o tutti o più di un insegnamento dell’asse culturale oppure più assi dell’area generale; l’UdA di indirizzo coinvolge almeno un asse dell’area generale e l’asse dell’area di indirizzo professionalizzante; le UdA di recupero o di potenziamento possono essere svolte/assegnate in itinere o durante la pausa didattica, al termine del primo periodo, oppure in occasione della revisione del PFI; l’UdA progettuale riguarda le ore dedicate allo sviluppo dei progetti scolastici; le UdA di PCTO (solo per il triennio) riguardano i percorsi di alternanza scuola-lavoro.</w:t>
      </w:r>
    </w:p>
    <w:p>
      <w:pPr>
        <w:pStyle w:val="Corpodeltesto"/>
        <w:numPr>
          <w:ilvl w:val="0"/>
          <w:numId w:val="2"/>
        </w:numPr>
        <w:bidi w:val="0"/>
        <w:spacing w:lineRule="auto" w:line="276" w:before="1" w:after="120"/>
        <w:ind w:left="360" w:right="117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>
      <w:pPr>
        <w:pStyle w:val="Corpodeltesto"/>
        <w:numPr>
          <w:ilvl w:val="0"/>
          <w:numId w:val="2"/>
        </w:numPr>
        <w:bidi w:val="0"/>
        <w:spacing w:before="1" w:after="120"/>
        <w:ind w:left="360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>
      <w:pPr>
        <w:pStyle w:val="Corpodeltesto"/>
        <w:numPr>
          <w:ilvl w:val="0"/>
          <w:numId w:val="2"/>
        </w:numPr>
        <w:bidi w:val="0"/>
        <w:spacing w:lineRule="exact" w:line="243"/>
        <w:ind w:left="360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Inserire i saperi essenziali – quelli che consentono all’allievo di acquisire ulteriori conoscenze - promossi dalle UdA.</w:t>
      </w:r>
    </w:p>
    <w:p>
      <w:pPr>
        <w:pStyle w:val="Corpodeltesto"/>
        <w:numPr>
          <w:ilvl w:val="0"/>
          <w:numId w:val="2"/>
        </w:numPr>
        <w:bidi w:val="0"/>
        <w:spacing w:lineRule="exact" w:line="243"/>
        <w:ind w:left="360" w:hanging="36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>
      <w:pPr>
        <w:pStyle w:val="Corpodeltesto"/>
        <w:bidi w:val="0"/>
        <w:spacing w:lineRule="exact" w:line="243"/>
        <w:ind w:left="360" w:hanging="0"/>
        <w:jc w:val="left"/>
        <w:rPr>
          <w:rFonts w:ascii="Arial" w:hAnsi="Arial" w:eastAsia="Times New Roman"/>
          <w:color w:val="000000"/>
          <w:kern w:val="0"/>
          <w:sz w:val="22"/>
          <w:szCs w:val="22"/>
          <w:lang w:eastAsia="it-IT" w:bidi="ar-SA"/>
        </w:rPr>
      </w:pPr>
      <w:r>
        <w:rPr>
          <w:rFonts w:eastAsia="Times New Roman" w:ascii="Arial" w:hAnsi="Arial"/>
          <w:color w:val="000000"/>
          <w:kern w:val="0"/>
          <w:sz w:val="22"/>
          <w:szCs w:val="22"/>
          <w:lang w:eastAsia="it-IT" w:bidi="ar-SA"/>
        </w:rPr>
      </w:r>
    </w:p>
    <w:p>
      <w:pPr>
        <w:pStyle w:val="Normal"/>
        <w:bidi w:val="0"/>
        <w:spacing w:lineRule="auto" w:line="240" w:before="0" w:after="0"/>
        <w:jc w:val="left"/>
        <w:rPr>
          <w:rFonts w:ascii="Arial" w:hAnsi="Arial" w:eastAsia="Times New Roman" w:cs="Arial"/>
          <w:b/>
          <w:b/>
          <w:bCs/>
          <w:color w:val="000000"/>
          <w:lang w:eastAsia="it-IT"/>
        </w:rPr>
      </w:pPr>
      <w:r>
        <w:rPr>
          <w:rFonts w:eastAsia="Times New Roman" w:cs="Arial" w:ascii="Arial" w:hAnsi="Arial"/>
          <w:b/>
          <w:bCs/>
          <w:color w:val="000000"/>
          <w:lang w:eastAsia="it-IT"/>
        </w:rPr>
      </w:r>
    </w:p>
    <w:p>
      <w:pPr>
        <w:pStyle w:val="Normal"/>
        <w:bidi w:val="0"/>
        <w:spacing w:lineRule="auto" w:line="240" w:before="0" w:after="160"/>
        <w:ind w:firstLine="708"/>
        <w:jc w:val="left"/>
        <w:rPr>
          <w:rFonts w:ascii="Arial" w:hAnsi="Arial" w:eastAsia="Times New Roman" w:cs="Arial"/>
          <w:b/>
          <w:b/>
          <w:bCs/>
          <w:color w:val="000000"/>
          <w:sz w:val="28"/>
          <w:szCs w:val="28"/>
          <w:lang w:eastAsia="it-IT"/>
        </w:rPr>
      </w:pPr>
      <w:r>
        <w:rPr>
          <w:rFonts w:eastAsia="Times New Roman" w:cs="Arial" w:ascii="Arial" w:hAnsi="Arial"/>
          <w:color w:val="000000"/>
          <w:lang w:eastAsia="it-IT"/>
        </w:rPr>
        <w:t>Vimercate, ___________________                                                         </w:t>
        <w:tab/>
        <w:tab/>
        <w:tab/>
        <w:t xml:space="preserve"> Il docente  ________________________________</w:t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Titolo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"/>
      <w:lvlJc w:val="left"/>
      <w:pPr>
        <w:tabs>
          <w:tab w:val="num" w:pos="0"/>
        </w:tabs>
        <w:ind w:left="502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283"/>
  <w:themeFontLang w:val="it-IT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it-IT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0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0" w:semiHidden="0" w:unhideWhenUsed="0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 w:qFormat="1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34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 w:val="false"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next w:val="Normal"/>
    <w:link w:val="16"/>
    <w:uiPriority w:val="9"/>
    <w:qFormat/>
    <w:pPr>
      <w:keepNext w:val="true"/>
      <w:keepLines/>
      <w:spacing w:before="240" w:after="0"/>
      <w:outlineLvl w:val="0"/>
    </w:pPr>
    <w:rPr>
      <w:rFonts w:ascii="Calibri Light" w:hAnsi="Calibri Light" w:eastAsia="等线 Light" w:cs="" w:asciiTheme="majorHAnsi" w:cstheme="majorBidi" w:eastAsiaTheme="majorEastAsia" w:hAnsiTheme="majorHAnsi"/>
      <w:color w:val="2F5597" w:themeColor="accent1" w:themeShade="bf"/>
      <w:sz w:val="32"/>
      <w:szCs w:val="32"/>
    </w:rPr>
  </w:style>
  <w:style w:type="paragraph" w:styleId="Titolo2">
    <w:name w:val="Heading 2"/>
    <w:basedOn w:val="Normal"/>
    <w:next w:val="Normal"/>
    <w:link w:val="12"/>
    <w:uiPriority w:val="0"/>
    <w:qFormat/>
    <w:pPr>
      <w:keepNext w:val="true"/>
      <w:numPr>
        <w:ilvl w:val="1"/>
        <w:numId w:val="1"/>
      </w:numPr>
      <w:suppressAutoHyphens w:val="true"/>
      <w:spacing w:lineRule="auto" w:line="240" w:before="0" w:after="0"/>
      <w:ind w:left="0" w:right="34" w:hanging="0"/>
      <w:jc w:val="center"/>
      <w:outlineLvl w:val="1"/>
    </w:pPr>
    <w:rPr>
      <w:rFonts w:ascii="Arial" w:hAnsi="Arial" w:eastAsia="Times New Roman" w:cs="Arial"/>
      <w:b/>
      <w:bCs/>
      <w:i/>
      <w:iCs/>
      <w:sz w:val="24"/>
      <w:szCs w:val="24"/>
      <w:lang w:eastAsia="he-IL" w:bidi="he-I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2Carattere" w:customStyle="1">
    <w:name w:val="Titolo 2 Carattere"/>
    <w:basedOn w:val="DefaultParagraphFont"/>
    <w:link w:val="3"/>
    <w:uiPriority w:val="0"/>
    <w:qFormat/>
    <w:rPr>
      <w:rFonts w:ascii="Arial" w:hAnsi="Arial" w:eastAsia="Times New Roman" w:cs="Arial"/>
      <w:b/>
      <w:bCs/>
      <w:i/>
      <w:iCs/>
      <w:sz w:val="24"/>
      <w:szCs w:val="24"/>
      <w:lang w:eastAsia="he-IL" w:bidi="he-IL"/>
    </w:rPr>
  </w:style>
  <w:style w:type="character" w:styleId="CorpotestoCarattere" w:customStyle="1">
    <w:name w:val="Corpo testo Carattere"/>
    <w:basedOn w:val="DefaultParagraphFont"/>
    <w:link w:val="4"/>
    <w:uiPriority w:val="0"/>
    <w:qFormat/>
    <w:rPr>
      <w:rFonts w:ascii="Times New Roman" w:hAnsi="Times New Roman" w:eastAsia="SimSun" w:cs="Arial"/>
      <w:kern w:val="2"/>
      <w:sz w:val="24"/>
      <w:szCs w:val="24"/>
      <w:lang w:eastAsia="hi-IN" w:bidi="hi-IN"/>
    </w:rPr>
  </w:style>
  <w:style w:type="character" w:styleId="IntestazioneCarattere" w:customStyle="1">
    <w:name w:val="Intestazione Carattere"/>
    <w:basedOn w:val="DefaultParagraphFont"/>
    <w:link w:val="6"/>
    <w:uiPriority w:val="0"/>
    <w:qFormat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PidipaginaCarattere" w:customStyle="1">
    <w:name w:val="Piè di pagina Carattere"/>
    <w:basedOn w:val="DefaultParagraphFont"/>
    <w:link w:val="5"/>
    <w:uiPriority w:val="99"/>
    <w:qFormat/>
    <w:rPr/>
  </w:style>
  <w:style w:type="character" w:styleId="Titolo1Carattere" w:customStyle="1">
    <w:name w:val="Titolo 1 Carattere"/>
    <w:basedOn w:val="DefaultParagraphFont"/>
    <w:link w:val="2"/>
    <w:uiPriority w:val="9"/>
    <w:qFormat/>
    <w:rPr>
      <w:rFonts w:ascii="Calibri Light" w:hAnsi="Calibri Light" w:eastAsia="等线 Light" w:cs="" w:asciiTheme="majorHAnsi" w:cstheme="majorBidi" w:eastAsiaTheme="majorEastAsia" w:hAnsiTheme="majorHAnsi"/>
      <w:color w:val="2F5597" w:themeColor="accent1" w:themeShade="bf"/>
      <w:sz w:val="32"/>
      <w:szCs w:val="32"/>
    </w:rPr>
  </w:style>
  <w:style w:type="character" w:styleId="Punti">
    <w:name w:val="Punti"/>
    <w:qFormat/>
    <w:rPr>
      <w:rFonts w:ascii="OpenSymbol" w:hAnsi="OpenSymbol" w:eastAsia="OpenSymbol" w:cs="Open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13"/>
    <w:uiPriority w:val="0"/>
    <w:pPr>
      <w:widowControl w:val="false"/>
      <w:suppressAutoHyphens w:val="true"/>
      <w:spacing w:lineRule="auto" w:line="240" w:before="0" w:after="120"/>
    </w:pPr>
    <w:rPr>
      <w:rFonts w:ascii="Times New Roman" w:hAnsi="Times New Roman" w:eastAsia="SimSun" w:cs="Arial"/>
      <w:kern w:val="2"/>
      <w:sz w:val="24"/>
      <w:szCs w:val="24"/>
      <w:lang w:eastAsia="hi-IN" w:bidi="hi-IN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Normal"/>
    <w:link w:val="15"/>
    <w:uiPriority w:val="99"/>
    <w:unhideWhenUsed/>
    <w:qFormat/>
    <w:pPr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Intestazione">
    <w:name w:val="Header"/>
    <w:basedOn w:val="Normal"/>
    <w:link w:val="14"/>
    <w:uiPriority w:val="0"/>
    <w:pPr>
      <w:tabs>
        <w:tab w:val="clear" w:pos="708"/>
        <w:tab w:val="center" w:pos="4819" w:leader="none"/>
        <w:tab w:val="right" w:pos="9638" w:leader="none"/>
      </w:tabs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semiHidden/>
    <w:unhideWhenUsed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LOnormal">
    <w:name w:val="LO-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0"/>
      <w:lang w:val="it-IT" w:eastAsia="zh-CN" w:bidi="hi-IN"/>
    </w:rPr>
  </w:style>
  <w:style w:type="paragraph" w:styleId="LOnormal1">
    <w:name w:val="LO-normal1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0"/>
      <w:lang w:val="it-IT" w:eastAsia="zh-CN" w:bidi="hi-IN"/>
    </w:rPr>
  </w:style>
  <w:style w:type="paragraph" w:styleId="Contenutotabella">
    <w:name w:val="Contenuto tabella"/>
    <w:basedOn w:val="Normal"/>
    <w:qFormat/>
    <w:pPr>
      <w:widowControl w:val="false"/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table" w:default="1" w:styleId="9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Table Grid"/>
    <w:basedOn w:val="9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D8F9773-317F-41F5-B928-A60AC63B7A0A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Application>LibreOffice/7.0.0.3$Windows_X86_64 LibreOffice_project/8061b3e9204bef6b321a21033174034a5e2ea88e</Application>
  <Pages>9</Pages>
  <Words>1925</Words>
  <Characters>12158</Characters>
  <CharactersWithSpaces>13926</CharactersWithSpaces>
  <Paragraphs>289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2022-02-17T16:46:00Z</dcterms:created>
  <dc:creator>Tiziana Mazzagardi</dc:creator>
  <dc:description/>
  <dc:language>it-IT</dc:language>
  <cp:lastModifiedBy/>
  <dcterms:modified xsi:type="dcterms:W3CDTF">2022-11-29T17:43:58Z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1033-11.2.0.9070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